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outlineLvl w:val="2"/>
        <w:rPr>
          <w:rFonts w:eastAsia="黑体"/>
          <w:sz w:val="32"/>
          <w:szCs w:val="32"/>
        </w:rPr>
      </w:pPr>
      <w:r>
        <w:rPr>
          <w:rFonts w:eastAsia="黑体"/>
          <w:sz w:val="32"/>
          <w:szCs w:val="32"/>
        </w:rPr>
        <w:t>附件1</w:t>
      </w:r>
    </w:p>
    <w:p>
      <w:pPr>
        <w:spacing w:line="570" w:lineRule="exact"/>
        <w:outlineLvl w:val="2"/>
        <w:rPr>
          <w:rFonts w:eastAsia="黑体"/>
          <w:sz w:val="32"/>
          <w:szCs w:val="32"/>
        </w:rPr>
      </w:pPr>
    </w:p>
    <w:p>
      <w:pPr>
        <w:spacing w:line="570" w:lineRule="exact"/>
        <w:jc w:val="center"/>
        <w:outlineLvl w:val="2"/>
        <w:rPr>
          <w:rFonts w:eastAsia="方正小标宋_GBK"/>
          <w:bCs/>
          <w:snapToGrid w:val="0"/>
          <w:sz w:val="44"/>
          <w:szCs w:val="44"/>
        </w:rPr>
      </w:pPr>
      <w:bookmarkStart w:id="0" w:name="_GoBack"/>
      <w:r>
        <w:rPr>
          <w:rFonts w:eastAsia="方正小标宋_GBK"/>
          <w:bCs/>
          <w:snapToGrid w:val="0"/>
          <w:sz w:val="44"/>
          <w:szCs w:val="44"/>
        </w:rPr>
        <w:t>双创人才申报条件</w:t>
      </w:r>
    </w:p>
    <w:bookmarkEnd w:id="0"/>
    <w:p>
      <w:pPr>
        <w:spacing w:line="570" w:lineRule="exact"/>
        <w:ind w:firstLine="640" w:firstLineChars="200"/>
        <w:rPr>
          <w:rFonts w:eastAsia="楷体_GB2312"/>
          <w:snapToGrid w:val="0"/>
          <w:sz w:val="32"/>
          <w:szCs w:val="32"/>
        </w:rPr>
      </w:pPr>
    </w:p>
    <w:p>
      <w:pPr>
        <w:snapToGrid w:val="0"/>
        <w:spacing w:line="570" w:lineRule="exact"/>
        <w:ind w:firstLine="640" w:firstLineChars="200"/>
        <w:rPr>
          <w:rFonts w:eastAsia="黑体"/>
          <w:bCs/>
          <w:sz w:val="32"/>
          <w:szCs w:val="32"/>
        </w:rPr>
      </w:pPr>
      <w:r>
        <w:rPr>
          <w:rFonts w:eastAsia="黑体"/>
          <w:bCs/>
          <w:sz w:val="32"/>
          <w:szCs w:val="32"/>
        </w:rPr>
        <w:t>一、基本条件</w:t>
      </w:r>
    </w:p>
    <w:p>
      <w:pPr>
        <w:snapToGrid w:val="0"/>
        <w:spacing w:line="570" w:lineRule="exact"/>
        <w:ind w:firstLine="640" w:firstLineChars="200"/>
        <w:rPr>
          <w:rFonts w:eastAsia="仿宋_GB2312"/>
          <w:bCs/>
          <w:sz w:val="32"/>
          <w:szCs w:val="32"/>
        </w:rPr>
      </w:pPr>
      <w:r>
        <w:rPr>
          <w:rFonts w:eastAsia="仿宋_GB2312"/>
          <w:bCs/>
          <w:sz w:val="32"/>
          <w:szCs w:val="32"/>
        </w:rPr>
        <w:t>1. 一般应具有硕士以上学位或副高以上职称，其中境外学位需提供教育部留学服务中心学历认证（国家重大人才工程入选者或2000年1月1日前获得学位的除外），特别优秀的不受学历限制；</w:t>
      </w:r>
    </w:p>
    <w:p>
      <w:pPr>
        <w:snapToGrid w:val="0"/>
        <w:spacing w:line="570" w:lineRule="exact"/>
        <w:ind w:firstLine="640" w:firstLineChars="200"/>
        <w:rPr>
          <w:rFonts w:eastAsia="仿宋_GB2312"/>
          <w:bCs/>
          <w:sz w:val="32"/>
          <w:szCs w:val="32"/>
        </w:rPr>
      </w:pPr>
      <w:r>
        <w:rPr>
          <w:rFonts w:eastAsia="仿宋_GB2312"/>
          <w:bCs/>
          <w:sz w:val="32"/>
          <w:szCs w:val="32"/>
        </w:rPr>
        <w:t xml:space="preserve">2. </w:t>
      </w:r>
      <w:r>
        <w:rPr>
          <w:rFonts w:hint="eastAsia" w:eastAsia="仿宋_GB2312"/>
          <w:bCs/>
          <w:sz w:val="32"/>
          <w:szCs w:val="32"/>
          <w:highlight w:val="none"/>
          <w:lang w:val="en-US" w:eastAsia="zh-CN"/>
        </w:rPr>
        <w:t>截至2023年12月31日，</w:t>
      </w:r>
      <w:r>
        <w:rPr>
          <w:rFonts w:eastAsia="仿宋_GB2312"/>
          <w:bCs/>
          <w:sz w:val="32"/>
          <w:szCs w:val="32"/>
          <w:highlight w:val="none"/>
        </w:rPr>
        <w:t>有</w:t>
      </w:r>
      <w:r>
        <w:rPr>
          <w:rFonts w:hint="eastAsia" w:eastAsia="仿宋_GB2312"/>
          <w:bCs/>
          <w:sz w:val="32"/>
          <w:szCs w:val="32"/>
          <w:highlight w:val="none"/>
          <w:lang w:val="en-US" w:eastAsia="zh-CN"/>
        </w:rPr>
        <w:t>3年以上（或取得博士学位后2年以上）</w:t>
      </w:r>
      <w:r>
        <w:rPr>
          <w:rFonts w:eastAsia="仿宋_GB2312"/>
          <w:bCs/>
          <w:sz w:val="32"/>
          <w:szCs w:val="32"/>
        </w:rPr>
        <w:t>在国内外知名企业、高校、科研单位及相关机构从事研发或管理等岗位的工作经历，并取得较突出业绩；</w:t>
      </w:r>
    </w:p>
    <w:p>
      <w:pPr>
        <w:snapToGrid w:val="0"/>
        <w:spacing w:line="570" w:lineRule="exact"/>
        <w:ind w:firstLine="640" w:firstLineChars="200"/>
        <w:rPr>
          <w:rFonts w:eastAsia="仿宋_GB2312"/>
          <w:bCs/>
          <w:sz w:val="32"/>
          <w:szCs w:val="32"/>
        </w:rPr>
      </w:pPr>
      <w:r>
        <w:rPr>
          <w:rFonts w:eastAsia="仿宋_GB2312"/>
          <w:bCs/>
          <w:sz w:val="32"/>
          <w:szCs w:val="32"/>
        </w:rPr>
        <w:t>3. 应为202</w:t>
      </w:r>
      <w:r>
        <w:rPr>
          <w:rFonts w:hint="eastAsia" w:eastAsia="仿宋_GB2312"/>
          <w:bCs/>
          <w:sz w:val="32"/>
          <w:szCs w:val="32"/>
          <w:lang w:val="en-US" w:eastAsia="zh-CN"/>
        </w:rPr>
        <w:t>1</w:t>
      </w:r>
      <w:r>
        <w:rPr>
          <w:rFonts w:eastAsia="仿宋_GB2312"/>
          <w:bCs/>
          <w:sz w:val="32"/>
          <w:szCs w:val="32"/>
        </w:rPr>
        <w:t>年1月1日至2023年</w:t>
      </w:r>
      <w:r>
        <w:rPr>
          <w:rFonts w:hint="eastAsia" w:eastAsia="仿宋_GB2312"/>
          <w:bCs/>
          <w:sz w:val="32"/>
          <w:szCs w:val="32"/>
          <w:lang w:val="en-US" w:eastAsia="zh-CN"/>
        </w:rPr>
        <w:t>12</w:t>
      </w:r>
      <w:r>
        <w:rPr>
          <w:rFonts w:eastAsia="仿宋_GB2312"/>
          <w:bCs/>
          <w:sz w:val="32"/>
          <w:szCs w:val="32"/>
        </w:rPr>
        <w:t>月31日期间到我市创新创业（申报人在国外或境外取得硕士及以上学位且回国时间不超过5年的，来连创业时间可以放宽至20</w:t>
      </w:r>
      <w:r>
        <w:rPr>
          <w:rFonts w:hint="eastAsia" w:eastAsia="仿宋_GB2312"/>
          <w:bCs/>
          <w:sz w:val="32"/>
          <w:szCs w:val="32"/>
          <w:lang w:val="en-US" w:eastAsia="zh-CN"/>
        </w:rPr>
        <w:t>20</w:t>
      </w:r>
      <w:r>
        <w:rPr>
          <w:rFonts w:eastAsia="仿宋_GB2312"/>
          <w:bCs/>
          <w:sz w:val="32"/>
          <w:szCs w:val="32"/>
        </w:rPr>
        <w:t>年1月1日之后）；引进的创新创业人才入选后能连续在连云港工作3年以上；</w:t>
      </w:r>
    </w:p>
    <w:p>
      <w:pPr>
        <w:snapToGrid w:val="0"/>
        <w:spacing w:line="570" w:lineRule="exact"/>
        <w:ind w:firstLine="640" w:firstLineChars="200"/>
        <w:rPr>
          <w:rFonts w:eastAsia="仿宋_GB2312"/>
          <w:bCs/>
          <w:sz w:val="32"/>
          <w:szCs w:val="32"/>
        </w:rPr>
      </w:pPr>
      <w:r>
        <w:rPr>
          <w:rFonts w:eastAsia="仿宋_GB2312"/>
          <w:bCs/>
          <w:sz w:val="32"/>
          <w:szCs w:val="32"/>
        </w:rPr>
        <w:t>4. 引进单位应于2023年</w:t>
      </w:r>
      <w:r>
        <w:rPr>
          <w:rFonts w:hint="eastAsia" w:eastAsia="仿宋_GB2312"/>
          <w:bCs/>
          <w:sz w:val="32"/>
          <w:szCs w:val="32"/>
          <w:lang w:val="en-US" w:eastAsia="zh-CN"/>
        </w:rPr>
        <w:t>12</w:t>
      </w:r>
      <w:r>
        <w:rPr>
          <w:rFonts w:eastAsia="仿宋_GB2312"/>
          <w:bCs/>
          <w:sz w:val="32"/>
          <w:szCs w:val="32"/>
        </w:rPr>
        <w:t>月31日前完成工商、税务和社保等注册登记相关手续，并有2名以上非股东（全职员工股权激励的除外）的员工缴纳社保费。</w:t>
      </w:r>
    </w:p>
    <w:p>
      <w:pPr>
        <w:snapToGrid w:val="0"/>
        <w:spacing w:line="570" w:lineRule="exact"/>
        <w:ind w:firstLine="624" w:firstLineChars="200"/>
        <w:rPr>
          <w:rFonts w:eastAsia="仿宋_GB2312"/>
          <w:bCs/>
          <w:spacing w:val="-4"/>
          <w:sz w:val="32"/>
          <w:szCs w:val="32"/>
        </w:rPr>
      </w:pPr>
      <w:r>
        <w:rPr>
          <w:rFonts w:eastAsia="仿宋_GB2312"/>
          <w:bCs/>
          <w:spacing w:val="-4"/>
          <w:sz w:val="32"/>
          <w:szCs w:val="32"/>
        </w:rPr>
        <w:t>已获得省“双创计划”、市“花果山英才计划”（原“港城英才计划”）资助的</w:t>
      </w:r>
      <w:r>
        <w:rPr>
          <w:rFonts w:hint="eastAsia" w:eastAsia="仿宋_GB2312"/>
          <w:bCs/>
          <w:spacing w:val="-4"/>
          <w:sz w:val="32"/>
          <w:szCs w:val="32"/>
          <w:lang w:val="en-US" w:eastAsia="zh-CN"/>
        </w:rPr>
        <w:t>不予申报</w:t>
      </w:r>
      <w:r>
        <w:rPr>
          <w:rFonts w:eastAsia="仿宋_GB2312"/>
          <w:bCs/>
          <w:spacing w:val="-4"/>
          <w:sz w:val="32"/>
          <w:szCs w:val="32"/>
        </w:rPr>
        <w:t>，不</w:t>
      </w:r>
      <w:r>
        <w:rPr>
          <w:rFonts w:hint="eastAsia" w:eastAsia="仿宋_GB2312"/>
          <w:bCs/>
          <w:spacing w:val="-4"/>
          <w:sz w:val="32"/>
          <w:szCs w:val="32"/>
          <w:lang w:val="en-US" w:eastAsia="zh-CN"/>
        </w:rPr>
        <w:t>可</w:t>
      </w:r>
      <w:r>
        <w:rPr>
          <w:rFonts w:eastAsia="仿宋_GB2312"/>
          <w:bCs/>
          <w:spacing w:val="-4"/>
          <w:sz w:val="32"/>
          <w:szCs w:val="32"/>
        </w:rPr>
        <w:t>与202</w:t>
      </w:r>
      <w:r>
        <w:rPr>
          <w:rFonts w:hint="eastAsia" w:eastAsia="仿宋_GB2312"/>
          <w:bCs/>
          <w:spacing w:val="-4"/>
          <w:sz w:val="32"/>
          <w:szCs w:val="32"/>
          <w:lang w:val="en-US" w:eastAsia="zh-CN"/>
        </w:rPr>
        <w:t>4</w:t>
      </w:r>
      <w:r>
        <w:rPr>
          <w:rFonts w:eastAsia="仿宋_GB2312"/>
          <w:bCs/>
          <w:spacing w:val="-4"/>
          <w:sz w:val="32"/>
          <w:szCs w:val="32"/>
        </w:rPr>
        <w:t>年市“双创博士”同时申报。</w:t>
      </w:r>
    </w:p>
    <w:p>
      <w:pPr>
        <w:snapToGrid w:val="0"/>
        <w:spacing w:line="570" w:lineRule="exact"/>
        <w:ind w:firstLine="640" w:firstLineChars="200"/>
        <w:rPr>
          <w:rFonts w:eastAsia="黑体"/>
          <w:bCs/>
          <w:sz w:val="32"/>
          <w:szCs w:val="32"/>
        </w:rPr>
      </w:pPr>
      <w:r>
        <w:rPr>
          <w:rFonts w:eastAsia="黑体"/>
          <w:bCs/>
          <w:sz w:val="32"/>
          <w:szCs w:val="32"/>
        </w:rPr>
        <w:t>二、分类条件</w:t>
      </w:r>
    </w:p>
    <w:p>
      <w:pPr>
        <w:snapToGrid w:val="0"/>
        <w:spacing w:line="570" w:lineRule="exact"/>
        <w:ind w:firstLine="643" w:firstLineChars="200"/>
        <w:rPr>
          <w:rFonts w:eastAsia="仿宋_GB2312"/>
          <w:b/>
          <w:bCs w:val="0"/>
          <w:sz w:val="32"/>
          <w:szCs w:val="32"/>
        </w:rPr>
      </w:pPr>
      <w:r>
        <w:rPr>
          <w:rFonts w:eastAsia="仿宋_GB2312"/>
          <w:b/>
          <w:bCs w:val="0"/>
          <w:sz w:val="32"/>
          <w:szCs w:val="32"/>
        </w:rPr>
        <w:t>创新类人才除具备基本条件外，还应符合下列条件：</w:t>
      </w:r>
    </w:p>
    <w:p>
      <w:pPr>
        <w:snapToGrid w:val="0"/>
        <w:spacing w:line="570" w:lineRule="exact"/>
        <w:ind w:firstLine="640" w:firstLineChars="200"/>
        <w:rPr>
          <w:rFonts w:eastAsia="仿宋_GB2312"/>
          <w:bCs/>
          <w:sz w:val="32"/>
          <w:szCs w:val="32"/>
        </w:rPr>
      </w:pPr>
      <w:r>
        <w:rPr>
          <w:rFonts w:eastAsia="仿宋_GB2312"/>
          <w:bCs/>
          <w:sz w:val="32"/>
          <w:szCs w:val="32"/>
        </w:rPr>
        <w:t>1. 拥有能够促进本单位自主创新、技术升级的产权明晰的核心技术成果，或者在国内外知名企业担任中高级职务、工作业绩突出、在业界有一定影响；</w:t>
      </w:r>
    </w:p>
    <w:p>
      <w:pPr>
        <w:snapToGrid w:val="0"/>
        <w:spacing w:line="570" w:lineRule="exact"/>
        <w:ind w:firstLine="640" w:firstLineChars="200"/>
        <w:rPr>
          <w:rFonts w:eastAsia="仿宋_GB2312"/>
          <w:bCs/>
          <w:sz w:val="32"/>
          <w:szCs w:val="32"/>
        </w:rPr>
      </w:pPr>
      <w:r>
        <w:rPr>
          <w:rFonts w:eastAsia="仿宋_GB2312"/>
          <w:bCs/>
          <w:sz w:val="32"/>
          <w:szCs w:val="32"/>
        </w:rPr>
        <w:t>2. 具备较高的科研水平和一定的组织协调能力，能带领研发团队从事科技创新；</w:t>
      </w:r>
    </w:p>
    <w:p>
      <w:pPr>
        <w:snapToGrid w:val="0"/>
        <w:spacing w:line="570" w:lineRule="exact"/>
        <w:ind w:firstLine="616" w:firstLineChars="200"/>
        <w:rPr>
          <w:rFonts w:eastAsia="仿宋_GB2312"/>
          <w:bCs/>
          <w:spacing w:val="-6"/>
          <w:sz w:val="32"/>
          <w:szCs w:val="32"/>
        </w:rPr>
      </w:pPr>
      <w:r>
        <w:rPr>
          <w:rFonts w:eastAsia="仿宋_GB2312"/>
          <w:bCs/>
          <w:spacing w:val="-6"/>
          <w:sz w:val="32"/>
          <w:szCs w:val="32"/>
        </w:rPr>
        <w:t>3. 创新类人才从到连云港工作次月起，引进单位代扣代缴个人所得税计税薪酬月均不低于1万元（事业单位可放宽至8000元），以申报单位代扣代缴个人所得税完税证明和薪酬发放证明（全职人才提供银行流水，非全职人才提供工资发放单或银行流水）为准，入选至考核验收结束，薪酬不得降低，且须连续提供不少于3年的上述证明材料；</w:t>
      </w:r>
    </w:p>
    <w:p>
      <w:pPr>
        <w:snapToGrid w:val="0"/>
        <w:spacing w:line="570" w:lineRule="exact"/>
        <w:ind w:firstLine="616" w:firstLineChars="200"/>
        <w:rPr>
          <w:rFonts w:eastAsia="仿宋_GB2312"/>
          <w:bCs/>
          <w:spacing w:val="-6"/>
          <w:sz w:val="32"/>
          <w:szCs w:val="32"/>
          <w:highlight w:val="none"/>
        </w:rPr>
      </w:pPr>
      <w:r>
        <w:rPr>
          <w:rFonts w:eastAsia="仿宋_GB2312"/>
          <w:bCs/>
          <w:spacing w:val="-6"/>
          <w:sz w:val="32"/>
          <w:szCs w:val="32"/>
        </w:rPr>
        <w:t>优先支持：本人参与项目投资、有资金投入并占有股份的企业引进人才；单位引进的人才团队成员；来连发展的海外高层次人才；企业高薪聘用和全职引进人才；</w:t>
      </w:r>
      <w:r>
        <w:rPr>
          <w:rFonts w:eastAsia="仿宋_GB2312"/>
          <w:bCs/>
          <w:sz w:val="32"/>
          <w:szCs w:val="32"/>
        </w:rPr>
        <w:t>市级以上创新创业大赛获奖人才</w:t>
      </w:r>
      <w:r>
        <w:rPr>
          <w:rFonts w:hint="eastAsia" w:eastAsia="仿宋_GB2312"/>
          <w:bCs/>
          <w:sz w:val="32"/>
          <w:szCs w:val="32"/>
          <w:highlight w:val="none"/>
          <w:lang w:val="en-US" w:eastAsia="zh-CN"/>
        </w:rPr>
        <w:t>及获得过县区人才工程计划支持的人才</w:t>
      </w:r>
      <w:r>
        <w:rPr>
          <w:rFonts w:eastAsia="仿宋_GB2312"/>
          <w:bCs/>
          <w:spacing w:val="-6"/>
          <w:sz w:val="32"/>
          <w:szCs w:val="32"/>
          <w:highlight w:val="none"/>
        </w:rPr>
        <w:t>。</w:t>
      </w:r>
    </w:p>
    <w:p>
      <w:pPr>
        <w:snapToGrid w:val="0"/>
        <w:spacing w:line="570" w:lineRule="exact"/>
        <w:ind w:firstLine="643" w:firstLineChars="200"/>
        <w:rPr>
          <w:rFonts w:eastAsia="仿宋_GB2312"/>
          <w:b/>
          <w:bCs w:val="0"/>
          <w:sz w:val="32"/>
          <w:szCs w:val="32"/>
        </w:rPr>
      </w:pPr>
      <w:r>
        <w:rPr>
          <w:rFonts w:eastAsia="仿宋_GB2312"/>
          <w:b/>
          <w:bCs w:val="0"/>
          <w:sz w:val="32"/>
          <w:szCs w:val="32"/>
        </w:rPr>
        <w:t>创业类人才除具备基本条件外，还应符合下列条件：</w:t>
      </w:r>
    </w:p>
    <w:p>
      <w:pPr>
        <w:snapToGrid w:val="0"/>
        <w:spacing w:line="570" w:lineRule="exact"/>
        <w:ind w:firstLine="640" w:firstLineChars="200"/>
        <w:rPr>
          <w:rFonts w:eastAsia="仿宋_GB2312"/>
          <w:bCs/>
          <w:sz w:val="32"/>
          <w:szCs w:val="32"/>
        </w:rPr>
      </w:pPr>
      <w:r>
        <w:rPr>
          <w:rFonts w:eastAsia="仿宋_GB2312"/>
          <w:bCs/>
          <w:sz w:val="32"/>
          <w:szCs w:val="32"/>
        </w:rPr>
        <w:t>1. 拥</w:t>
      </w:r>
      <w:r>
        <w:rPr>
          <w:rFonts w:eastAsia="仿宋_GB2312"/>
          <w:bCs/>
          <w:spacing w:val="-6"/>
          <w:sz w:val="32"/>
          <w:szCs w:val="32"/>
        </w:rPr>
        <w:t>有与创业领域产品、技术相关的自主知识产权或关键技术，在产品开发和企业经营管理方面具有比较丰富的实践经验；</w:t>
      </w:r>
    </w:p>
    <w:p>
      <w:pPr>
        <w:snapToGrid w:val="0"/>
        <w:spacing w:line="570" w:lineRule="exact"/>
        <w:ind w:firstLine="640" w:firstLineChars="200"/>
        <w:rPr>
          <w:rFonts w:eastAsia="仿宋_GB2312"/>
          <w:bCs/>
          <w:sz w:val="32"/>
          <w:szCs w:val="32"/>
        </w:rPr>
      </w:pPr>
      <w:r>
        <w:rPr>
          <w:rFonts w:eastAsia="仿宋_GB2312"/>
          <w:bCs/>
          <w:sz w:val="32"/>
          <w:szCs w:val="32"/>
        </w:rPr>
        <w:t>2. 创办企业应于2023年</w:t>
      </w:r>
      <w:r>
        <w:rPr>
          <w:rFonts w:hint="eastAsia" w:eastAsia="仿宋_GB2312"/>
          <w:bCs/>
          <w:sz w:val="32"/>
          <w:szCs w:val="32"/>
          <w:lang w:val="en-US" w:eastAsia="zh-CN"/>
        </w:rPr>
        <w:t>12</w:t>
      </w:r>
      <w:r>
        <w:rPr>
          <w:rFonts w:eastAsia="仿宋_GB2312"/>
          <w:bCs/>
          <w:sz w:val="32"/>
          <w:szCs w:val="32"/>
        </w:rPr>
        <w:t>月31日前完成工商注册登记等相关手续，申报人应为所创办企业的主要负责人（担任董事长、总经理等职务，不包括监事，同时已在工商信息系统中备案）；</w:t>
      </w:r>
    </w:p>
    <w:p>
      <w:pPr>
        <w:snapToGrid w:val="0"/>
        <w:spacing w:line="570" w:lineRule="exact"/>
        <w:ind w:firstLine="624" w:firstLineChars="200"/>
        <w:rPr>
          <w:rFonts w:ascii="Times New Roman" w:hAnsi="Times New Roman" w:eastAsia="仿宋_GB2312" w:cs="Times New Roman"/>
          <w:bCs/>
          <w:sz w:val="32"/>
          <w:szCs w:val="32"/>
        </w:rPr>
      </w:pPr>
      <w:r>
        <w:rPr>
          <w:rFonts w:eastAsia="仿宋_GB2312"/>
          <w:bCs/>
          <w:spacing w:val="-4"/>
          <w:sz w:val="32"/>
          <w:szCs w:val="32"/>
        </w:rPr>
        <w:t xml:space="preserve">3. </w:t>
      </w:r>
      <w:r>
        <w:rPr>
          <w:rFonts w:ascii="Times New Roman" w:hAnsi="Times New Roman" w:eastAsia="仿宋_GB2312" w:cs="Times New Roman"/>
          <w:bCs/>
          <w:sz w:val="32"/>
          <w:szCs w:val="32"/>
        </w:rPr>
        <w:t>自然人直接出资的，申报人在所创办企业</w:t>
      </w:r>
      <w:r>
        <w:rPr>
          <w:rFonts w:hint="eastAsia" w:ascii="Times New Roman" w:hAnsi="Times New Roman" w:eastAsia="仿宋_GB2312" w:cs="Times New Roman"/>
          <w:bCs/>
          <w:sz w:val="32"/>
          <w:szCs w:val="32"/>
          <w:lang w:eastAsia="zh-CN"/>
        </w:rPr>
        <w:t>的</w:t>
      </w:r>
      <w:r>
        <w:rPr>
          <w:rFonts w:ascii="Times New Roman" w:hAnsi="Times New Roman" w:eastAsia="仿宋_GB2312" w:cs="Times New Roman"/>
          <w:bCs/>
          <w:sz w:val="32"/>
          <w:szCs w:val="32"/>
        </w:rPr>
        <w:t>实收资本中，货币投资不少于</w:t>
      </w:r>
      <w:r>
        <w:rPr>
          <w:rFonts w:hint="eastAsia" w:ascii="Times New Roman" w:hAnsi="Times New Roman" w:eastAsia="仿宋_GB2312" w:cs="Times New Roman"/>
          <w:bCs/>
          <w:sz w:val="32"/>
          <w:szCs w:val="32"/>
          <w:highlight w:val="none"/>
          <w:lang w:val="en-US" w:eastAsia="zh-CN"/>
        </w:rPr>
        <w:t>100</w:t>
      </w:r>
      <w:r>
        <w:rPr>
          <w:rFonts w:ascii="Times New Roman" w:hAnsi="Times New Roman" w:eastAsia="仿宋_GB2312" w:cs="Times New Roman"/>
          <w:bCs/>
          <w:sz w:val="32"/>
          <w:szCs w:val="32"/>
          <w:highlight w:val="none"/>
        </w:rPr>
        <w:t>万元（</w:t>
      </w:r>
      <w:r>
        <w:rPr>
          <w:rFonts w:ascii="Times New Roman" w:hAnsi="Times New Roman" w:eastAsia="仿宋_GB2312" w:cs="Times New Roman"/>
          <w:bCs/>
          <w:sz w:val="32"/>
          <w:szCs w:val="32"/>
        </w:rPr>
        <w:t>截止2023年</w:t>
      </w:r>
      <w:r>
        <w:rPr>
          <w:rFonts w:hint="eastAsia" w:ascii="Times New Roman" w:hAnsi="Times New Roman" w:eastAsia="仿宋_GB2312" w:cs="Times New Roman"/>
          <w:bCs/>
          <w:sz w:val="32"/>
          <w:szCs w:val="32"/>
          <w:lang w:val="en-US" w:eastAsia="zh-CN"/>
        </w:rPr>
        <w:t>12</w:t>
      </w:r>
      <w:r>
        <w:rPr>
          <w:rFonts w:ascii="Times New Roman" w:hAnsi="Times New Roman" w:eastAsia="仿宋_GB2312" w:cs="Times New Roman"/>
          <w:bCs/>
          <w:sz w:val="32"/>
          <w:szCs w:val="32"/>
        </w:rPr>
        <w:t>月31日已实缴），且本人实缴并计入注册资本的货币出资在企业注册资本中占比不少于30%（注册资本超过1000万元的不少于20%）或是自然人第一大股东（在注册资本中认缴金额最大且在实收资本中实缴金额最大），入选后至考核验收结束，个人实际出资金额不得减少；非自然人直接出资而以持股公司出资的，通过一个层级计算；对于上两级持股公司均在境外注册的，可放宽至两个层级；</w:t>
      </w:r>
    </w:p>
    <w:p>
      <w:pPr>
        <w:snapToGrid w:val="0"/>
        <w:spacing w:line="570" w:lineRule="exact"/>
        <w:ind w:firstLine="640" w:firstLineChars="200"/>
        <w:rPr>
          <w:rFonts w:eastAsia="仿宋_GB2312"/>
          <w:bCs/>
          <w:sz w:val="32"/>
          <w:szCs w:val="32"/>
        </w:rPr>
      </w:pPr>
      <w:r>
        <w:rPr>
          <w:rFonts w:eastAsia="仿宋_GB2312"/>
          <w:bCs/>
          <w:sz w:val="32"/>
          <w:szCs w:val="32"/>
        </w:rPr>
        <w:t>4. 加大海外人才支持力度，在国外（境外）取得硕士及以上学位且回国时间不超过5年</w:t>
      </w:r>
      <w:r>
        <w:rPr>
          <w:rFonts w:ascii="Times New Roman" w:hAnsi="Times New Roman" w:eastAsia="仿宋_GB2312" w:cs="Times New Roman"/>
          <w:bCs/>
          <w:sz w:val="32"/>
          <w:szCs w:val="32"/>
        </w:rPr>
        <w:t>（201</w:t>
      </w:r>
      <w:r>
        <w:rPr>
          <w:rFonts w:hint="eastAsia" w:ascii="Times New Roman" w:hAnsi="Times New Roman" w:eastAsia="仿宋_GB2312" w:cs="Times New Roman"/>
          <w:bCs/>
          <w:sz w:val="32"/>
          <w:szCs w:val="32"/>
          <w:lang w:val="en-US" w:eastAsia="zh-CN"/>
        </w:rPr>
        <w:t>9</w:t>
      </w:r>
      <w:r>
        <w:rPr>
          <w:rFonts w:ascii="Times New Roman" w:hAnsi="Times New Roman" w:eastAsia="仿宋_GB2312" w:cs="Times New Roman"/>
          <w:bCs/>
          <w:sz w:val="32"/>
          <w:szCs w:val="32"/>
        </w:rPr>
        <w:t>年1月1日以后回国）的人才，其创办企业成立1年以上、4年以下（20</w:t>
      </w:r>
      <w:r>
        <w:rPr>
          <w:rFonts w:hint="eastAsia" w:ascii="Times New Roman" w:hAnsi="Times New Roman" w:eastAsia="仿宋_GB2312" w:cs="Times New Roman"/>
          <w:bCs/>
          <w:sz w:val="32"/>
          <w:szCs w:val="32"/>
          <w:lang w:val="en-US" w:eastAsia="zh-CN"/>
        </w:rPr>
        <w:t>20</w:t>
      </w:r>
      <w:r>
        <w:rPr>
          <w:rFonts w:ascii="Times New Roman" w:hAnsi="Times New Roman" w:eastAsia="仿宋_GB2312" w:cs="Times New Roman"/>
          <w:bCs/>
          <w:sz w:val="32"/>
          <w:szCs w:val="32"/>
        </w:rPr>
        <w:t>年1月1日至202</w:t>
      </w:r>
      <w:r>
        <w:rPr>
          <w:rFonts w:hint="eastAsia" w:ascii="Times New Roman" w:hAnsi="Times New Roman" w:eastAsia="仿宋_GB2312" w:cs="Times New Roman"/>
          <w:bCs/>
          <w:sz w:val="32"/>
          <w:szCs w:val="32"/>
          <w:lang w:val="en-US" w:eastAsia="zh-CN"/>
        </w:rPr>
        <w:t>3</w:t>
      </w:r>
      <w:r>
        <w:rPr>
          <w:rFonts w:ascii="Times New Roman" w:hAnsi="Times New Roman" w:eastAsia="仿宋_GB2312" w:cs="Times New Roman"/>
          <w:bCs/>
          <w:sz w:val="32"/>
          <w:szCs w:val="32"/>
        </w:rPr>
        <w:t>年1月1日期间），产</w:t>
      </w:r>
      <w:r>
        <w:rPr>
          <w:rFonts w:eastAsia="仿宋_GB2312"/>
          <w:bCs/>
          <w:sz w:val="32"/>
          <w:szCs w:val="32"/>
        </w:rPr>
        <w:t>品具有核心技术且处于中试或产业化阶段，是企业主要创办人且为第一大股东或者最大自然人股东，同时符合下列条件之一（</w:t>
      </w:r>
      <w:r>
        <w:rPr>
          <w:rFonts w:eastAsia="仿宋_GB2312"/>
          <w:bCs/>
          <w:sz w:val="32"/>
          <w:szCs w:val="32"/>
        </w:rPr>
        <w:fldChar w:fldCharType="begin"/>
      </w:r>
      <w:r>
        <w:rPr>
          <w:rFonts w:eastAsia="仿宋_GB2312"/>
          <w:bCs/>
          <w:sz w:val="32"/>
          <w:szCs w:val="32"/>
        </w:rPr>
        <w:instrText xml:space="preserve"> = 1 \* GB3 \* MERGEFORMAT </w:instrText>
      </w:r>
      <w:r>
        <w:rPr>
          <w:rFonts w:eastAsia="仿宋_GB2312"/>
          <w:bCs/>
          <w:sz w:val="32"/>
          <w:szCs w:val="32"/>
        </w:rPr>
        <w:fldChar w:fldCharType="separate"/>
      </w:r>
      <w:r>
        <w:rPr>
          <w:rFonts w:eastAsia="仿宋_GB2312"/>
          <w:bCs/>
          <w:sz w:val="32"/>
          <w:szCs w:val="32"/>
        </w:rPr>
        <w:t>①</w:t>
      </w:r>
      <w:r>
        <w:rPr>
          <w:rFonts w:eastAsia="仿宋_GB2312"/>
          <w:bCs/>
          <w:sz w:val="32"/>
          <w:szCs w:val="32"/>
        </w:rPr>
        <w:fldChar w:fldCharType="end"/>
      </w:r>
      <w:r>
        <w:rPr>
          <w:rFonts w:eastAsia="仿宋_GB2312"/>
          <w:bCs/>
          <w:sz w:val="32"/>
          <w:szCs w:val="32"/>
        </w:rPr>
        <w:t>拥有国际领先技术成果，或者能够填补国内空白，产品开放潜力大；</w:t>
      </w:r>
      <w:r>
        <w:rPr>
          <w:rFonts w:eastAsia="仿宋_GB2312"/>
          <w:bCs/>
          <w:sz w:val="32"/>
          <w:szCs w:val="32"/>
        </w:rPr>
        <w:fldChar w:fldCharType="begin"/>
      </w:r>
      <w:r>
        <w:rPr>
          <w:rFonts w:eastAsia="仿宋_GB2312"/>
          <w:bCs/>
          <w:sz w:val="32"/>
          <w:szCs w:val="32"/>
        </w:rPr>
        <w:instrText xml:space="preserve"> = 2 \* GB3 \* MERGEFORMAT </w:instrText>
      </w:r>
      <w:r>
        <w:rPr>
          <w:rFonts w:eastAsia="仿宋_GB2312"/>
          <w:bCs/>
          <w:sz w:val="32"/>
          <w:szCs w:val="32"/>
        </w:rPr>
        <w:fldChar w:fldCharType="separate"/>
      </w:r>
      <w:r>
        <w:rPr>
          <w:rFonts w:eastAsia="仿宋_GB2312"/>
          <w:bCs/>
          <w:sz w:val="32"/>
          <w:szCs w:val="32"/>
        </w:rPr>
        <w:t>②</w:t>
      </w:r>
      <w:r>
        <w:rPr>
          <w:rFonts w:eastAsia="仿宋_GB2312"/>
          <w:bCs/>
          <w:sz w:val="32"/>
          <w:szCs w:val="32"/>
        </w:rPr>
        <w:fldChar w:fldCharType="end"/>
      </w:r>
      <w:r>
        <w:rPr>
          <w:rFonts w:eastAsia="仿宋_GB2312"/>
          <w:bCs/>
          <w:sz w:val="32"/>
          <w:szCs w:val="32"/>
        </w:rPr>
        <w:t>有海外创业经验或者曾任国外企业中高层管理职位，有较强的经营管理能力；</w:t>
      </w:r>
      <w:r>
        <w:rPr>
          <w:rFonts w:eastAsia="仿宋_GB2312"/>
          <w:bCs/>
          <w:sz w:val="32"/>
          <w:szCs w:val="32"/>
        </w:rPr>
        <w:fldChar w:fldCharType="begin"/>
      </w:r>
      <w:r>
        <w:rPr>
          <w:rFonts w:eastAsia="仿宋_GB2312"/>
          <w:bCs/>
          <w:sz w:val="32"/>
          <w:szCs w:val="32"/>
        </w:rPr>
        <w:instrText xml:space="preserve"> = 3 \* GB3 \* MERGEFORMAT </w:instrText>
      </w:r>
      <w:r>
        <w:rPr>
          <w:rFonts w:eastAsia="仿宋_GB2312"/>
          <w:bCs/>
          <w:sz w:val="32"/>
          <w:szCs w:val="32"/>
        </w:rPr>
        <w:fldChar w:fldCharType="separate"/>
      </w:r>
      <w:r>
        <w:rPr>
          <w:rFonts w:eastAsia="仿宋_GB2312"/>
          <w:bCs/>
          <w:sz w:val="32"/>
          <w:szCs w:val="32"/>
        </w:rPr>
        <w:t>③</w:t>
      </w:r>
      <w:r>
        <w:rPr>
          <w:rFonts w:eastAsia="仿宋_GB2312"/>
          <w:bCs/>
          <w:sz w:val="32"/>
          <w:szCs w:val="32"/>
        </w:rPr>
        <w:fldChar w:fldCharType="end"/>
      </w:r>
      <w:r>
        <w:rPr>
          <w:rFonts w:eastAsia="仿宋_GB2312"/>
          <w:bCs/>
          <w:sz w:val="32"/>
          <w:szCs w:val="32"/>
        </w:rPr>
        <w:t>拥有广阔市场前景的自主创新产品，获得风险投资机构投资）的，优先予以支持；</w:t>
      </w:r>
    </w:p>
    <w:p>
      <w:pPr>
        <w:snapToGrid w:val="0"/>
        <w:spacing w:line="570" w:lineRule="exact"/>
        <w:ind w:firstLine="640" w:firstLineChars="200"/>
        <w:rPr>
          <w:rFonts w:eastAsia="仿宋_GB2312"/>
          <w:bCs/>
          <w:sz w:val="32"/>
          <w:szCs w:val="32"/>
        </w:rPr>
      </w:pPr>
      <w:r>
        <w:rPr>
          <w:rFonts w:eastAsia="仿宋_GB2312"/>
          <w:bCs/>
          <w:sz w:val="32"/>
          <w:szCs w:val="32"/>
        </w:rPr>
        <w:t>5. 创办企业具有高成长性，企业的主导产品具有自主知识产权，技术水平达到国际先进或国内领先，能够填补国内空白或引领相关产业发展，有清晰的商业模式、较好的市场发展前景和预期经济效益；</w:t>
      </w:r>
    </w:p>
    <w:p>
      <w:pPr>
        <w:snapToGrid w:val="0"/>
        <w:spacing w:line="570" w:lineRule="exact"/>
        <w:ind w:firstLine="640" w:firstLineChars="200"/>
      </w:pPr>
      <w:r>
        <w:rPr>
          <w:rFonts w:eastAsia="仿宋_GB2312"/>
          <w:bCs/>
          <w:sz w:val="32"/>
          <w:szCs w:val="32"/>
        </w:rPr>
        <w:t>优先支持：</w:t>
      </w:r>
      <w:r>
        <w:rPr>
          <w:rFonts w:hint="eastAsia" w:eastAsia="仿宋_GB2312"/>
          <w:bCs/>
          <w:sz w:val="32"/>
          <w:szCs w:val="32"/>
          <w:lang w:val="en-US" w:eastAsia="zh-CN"/>
        </w:rPr>
        <w:t>现代服务业企业；所办</w:t>
      </w:r>
      <w:r>
        <w:rPr>
          <w:rFonts w:eastAsia="仿宋_GB2312"/>
          <w:bCs/>
          <w:sz w:val="32"/>
          <w:szCs w:val="32"/>
        </w:rPr>
        <w:t>企业税收、社保、就业贡献大的人才；企业已有社会资本投入的人才；市级以上创新创业大赛获奖人才</w:t>
      </w:r>
      <w:r>
        <w:rPr>
          <w:rFonts w:hint="eastAsia" w:eastAsia="仿宋_GB2312"/>
          <w:bCs/>
          <w:sz w:val="32"/>
          <w:szCs w:val="32"/>
          <w:highlight w:val="none"/>
        </w:rPr>
        <w:t>及获得过县区人才工程计划支持的人才</w:t>
      </w:r>
      <w:r>
        <w:rPr>
          <w:rFonts w:eastAsia="仿宋_GB2312"/>
          <w:bCs/>
          <w:sz w:val="32"/>
          <w:szCs w:val="32"/>
          <w:highlight w:val="none"/>
        </w:rPr>
        <w:t>。</w:t>
      </w:r>
    </w:p>
    <w:sectPr>
      <w:pgSz w:w="11906" w:h="16838"/>
      <w:pgMar w:top="1984" w:right="1531" w:bottom="1701" w:left="1531" w:header="851" w:footer="992" w:gutter="0"/>
      <w:cols w:space="0" w:num="1"/>
      <w:rtlGutter w:val="0"/>
      <w:docGrid w:type="lines" w:linePitch="32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1DC10EF-3C52-4A38-AFDA-B2C084F8C56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2264870F-E1BE-44DB-8AD5-EC94034828B4}"/>
  </w:font>
  <w:font w:name="方正小标宋_GBK">
    <w:panose1 w:val="02000000000000000000"/>
    <w:charset w:val="86"/>
    <w:family w:val="script"/>
    <w:pitch w:val="default"/>
    <w:sig w:usb0="A00002BF" w:usb1="38CF7CFA" w:usb2="00082016" w:usb3="00000000" w:csb0="00040001" w:csb1="00000000"/>
    <w:embedRegular r:id="rId3" w:fontKey="{23814286-8538-4A8E-B670-3BE44E29BB7B}"/>
  </w:font>
  <w:font w:name="楷体_GB2312">
    <w:panose1 w:val="02010609030101010101"/>
    <w:charset w:val="86"/>
    <w:family w:val="modern"/>
    <w:pitch w:val="default"/>
    <w:sig w:usb0="00000001" w:usb1="080E0000" w:usb2="00000000" w:usb3="00000000" w:csb0="00040000" w:csb1="00000000"/>
    <w:embedRegular r:id="rId4" w:fontKey="{0A34FC4D-03BA-4589-A7C8-E24E97F5C6E9}"/>
  </w:font>
  <w:font w:name="仿宋_GB2312">
    <w:panose1 w:val="02010609030101010101"/>
    <w:charset w:val="86"/>
    <w:family w:val="modern"/>
    <w:pitch w:val="default"/>
    <w:sig w:usb0="00000001" w:usb1="080E0000" w:usb2="00000000" w:usb3="00000000" w:csb0="00040000" w:csb1="00000000"/>
    <w:embedRegular r:id="rId5" w:fontKey="{5040A3CD-3D46-4C40-83B6-718EB4E62B7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wYzAyMWMyOTIwYTJmNGM3ZmVjZmU3M2JhNGE2M2UifQ=="/>
  </w:docVars>
  <w:rsids>
    <w:rsidRoot w:val="052B7F2C"/>
    <w:rsid w:val="052B7F2C"/>
    <w:rsid w:val="7D152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2024-04-30T08:39:00Z</dcterms:created>
  <dc:creator>泡泡物语</dc:creator>
  <cp:lastModifiedBy>泡泡物语</cp:lastModifiedBy>
  <dcterms:modified xsi:type="dcterms:W3CDTF">2024-04-30T08:46:34Z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8236341A9EC145F7BBE26A4462C134ED_11</vt:lpwstr>
  </property>
</Properties>
</file>