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eastAsia="黑体"/>
          <w:bCs/>
          <w:sz w:val="32"/>
          <w:szCs w:val="32"/>
        </w:rPr>
      </w:pPr>
      <w:r>
        <w:rPr>
          <w:rFonts w:eastAsia="黑体"/>
          <w:bCs/>
          <w:sz w:val="32"/>
          <w:szCs w:val="32"/>
        </w:rPr>
        <w:t>附件2</w:t>
      </w:r>
    </w:p>
    <w:p>
      <w:pPr>
        <w:spacing w:line="570" w:lineRule="exact"/>
        <w:jc w:val="center"/>
        <w:outlineLvl w:val="2"/>
        <w:rPr>
          <w:rFonts w:eastAsia="方正小标宋简体"/>
          <w:bCs/>
          <w:snapToGrid w:val="0"/>
          <w:sz w:val="44"/>
          <w:szCs w:val="44"/>
        </w:rPr>
      </w:pPr>
    </w:p>
    <w:p>
      <w:pPr>
        <w:spacing w:line="570" w:lineRule="exact"/>
        <w:jc w:val="center"/>
        <w:outlineLvl w:val="2"/>
        <w:rPr>
          <w:rFonts w:eastAsia="方正小标宋_GBK"/>
          <w:bCs/>
          <w:snapToGrid w:val="0"/>
          <w:sz w:val="44"/>
          <w:szCs w:val="44"/>
        </w:rPr>
      </w:pPr>
      <w:bookmarkStart w:id="0" w:name="_GoBack"/>
      <w:r>
        <w:rPr>
          <w:rFonts w:eastAsia="方正小标宋_GBK"/>
          <w:bCs/>
          <w:snapToGrid w:val="0"/>
          <w:sz w:val="44"/>
          <w:szCs w:val="44"/>
        </w:rPr>
        <w:t>双创团队申报条件</w:t>
      </w:r>
    </w:p>
    <w:bookmarkEnd w:id="0"/>
    <w:p>
      <w:pPr>
        <w:spacing w:line="570" w:lineRule="exact"/>
        <w:rPr>
          <w:rFonts w:eastAsia="黑体"/>
          <w:bCs/>
          <w:sz w:val="32"/>
          <w:szCs w:val="32"/>
        </w:rPr>
      </w:pPr>
    </w:p>
    <w:p>
      <w:pPr>
        <w:snapToGrid w:val="0"/>
        <w:spacing w:line="570" w:lineRule="exact"/>
        <w:ind w:firstLine="640" w:firstLineChars="200"/>
        <w:rPr>
          <w:rFonts w:eastAsia="黑体"/>
          <w:bCs/>
          <w:sz w:val="32"/>
          <w:szCs w:val="32"/>
        </w:rPr>
      </w:pPr>
      <w:r>
        <w:rPr>
          <w:rFonts w:eastAsia="黑体"/>
          <w:bCs/>
          <w:sz w:val="32"/>
          <w:szCs w:val="32"/>
        </w:rPr>
        <w:t>一、基本条件</w:t>
      </w:r>
    </w:p>
    <w:p>
      <w:pPr>
        <w:snapToGrid w:val="0"/>
        <w:spacing w:line="570" w:lineRule="exact"/>
        <w:ind w:firstLine="640" w:firstLineChars="200"/>
        <w:rPr>
          <w:rFonts w:eastAsia="仿宋_GB2312"/>
          <w:bCs/>
          <w:sz w:val="32"/>
          <w:szCs w:val="32"/>
        </w:rPr>
      </w:pPr>
      <w:r>
        <w:rPr>
          <w:rFonts w:eastAsia="仿宋_GB2312"/>
          <w:bCs/>
          <w:sz w:val="32"/>
          <w:szCs w:val="32"/>
        </w:rPr>
        <w:t>1. 团队由1名领军人才、2名以上核心成员组成。团队成员均于</w:t>
      </w:r>
      <w:r>
        <w:rPr>
          <w:rFonts w:ascii="Times New Roman" w:hAnsi="Times New Roman" w:eastAsia="仿宋_GB2312" w:cs="Times New Roman"/>
          <w:bCs/>
          <w:sz w:val="32"/>
          <w:szCs w:val="32"/>
        </w:rPr>
        <w:t>201</w:t>
      </w:r>
      <w:r>
        <w:rPr>
          <w:rFonts w:hint="eastAsia" w:ascii="Times New Roman" w:hAnsi="Times New Roman" w:eastAsia="仿宋_GB2312" w:cs="Times New Roman"/>
          <w:bCs/>
          <w:sz w:val="32"/>
          <w:szCs w:val="32"/>
          <w:lang w:val="en-US" w:eastAsia="zh-CN"/>
        </w:rPr>
        <w:t>9</w:t>
      </w:r>
      <w:r>
        <w:rPr>
          <w:rFonts w:ascii="Times New Roman" w:hAnsi="Times New Roman" w:eastAsia="仿宋_GB2312" w:cs="Times New Roman"/>
          <w:bCs/>
          <w:sz w:val="32"/>
          <w:szCs w:val="32"/>
        </w:rPr>
        <w:t>年1月1日至2023年</w:t>
      </w:r>
      <w:r>
        <w:rPr>
          <w:rFonts w:hint="eastAsia" w:ascii="Times New Roman" w:hAnsi="Times New Roman" w:eastAsia="仿宋_GB2312" w:cs="Times New Roman"/>
          <w:bCs/>
          <w:sz w:val="32"/>
          <w:szCs w:val="32"/>
          <w:lang w:val="en-US" w:eastAsia="zh-CN"/>
        </w:rPr>
        <w:t>12</w:t>
      </w:r>
      <w:r>
        <w:rPr>
          <w:rFonts w:ascii="Times New Roman" w:hAnsi="Times New Roman" w:eastAsia="仿宋_GB2312" w:cs="Times New Roman"/>
          <w:bCs/>
          <w:sz w:val="32"/>
          <w:szCs w:val="32"/>
        </w:rPr>
        <w:t>月31日</w:t>
      </w:r>
      <w:r>
        <w:rPr>
          <w:rFonts w:eastAsia="仿宋_GB2312"/>
          <w:bCs/>
          <w:sz w:val="32"/>
          <w:szCs w:val="32"/>
        </w:rPr>
        <w:t>期间引进到连云港，已与用人单位签订正式聘用合同；领军人才一般应具有博士学位或正高职称，核心人才一般应具有硕士以上学位或副高以上职称，其中境外学位需提供教育部留学服务中心学历认证（国家重大人才工程入选者或2000年1月1日前获得学位的除外）；核心成员中应有1名35周岁</w:t>
      </w:r>
      <w:r>
        <w:rPr>
          <w:rFonts w:ascii="Times New Roman" w:hAnsi="Times New Roman" w:eastAsia="仿宋_GB2312" w:cs="Times New Roman"/>
          <w:bCs/>
          <w:sz w:val="32"/>
          <w:szCs w:val="32"/>
        </w:rPr>
        <w:t>（198</w:t>
      </w:r>
      <w:r>
        <w:rPr>
          <w:rFonts w:hint="eastAsia" w:ascii="Times New Roman" w:hAnsi="Times New Roman" w:eastAsia="仿宋_GB2312" w:cs="Times New Roman"/>
          <w:bCs/>
          <w:sz w:val="32"/>
          <w:szCs w:val="32"/>
          <w:lang w:val="en-US" w:eastAsia="zh-CN"/>
        </w:rPr>
        <w:t>9</w:t>
      </w:r>
      <w:r>
        <w:rPr>
          <w:rFonts w:ascii="Times New Roman" w:hAnsi="Times New Roman" w:eastAsia="仿宋_GB2312" w:cs="Times New Roman"/>
          <w:bCs/>
          <w:sz w:val="32"/>
          <w:szCs w:val="32"/>
        </w:rPr>
        <w:t>年1月1日后出生</w:t>
      </w:r>
      <w:r>
        <w:rPr>
          <w:rFonts w:eastAsia="仿宋_GB2312"/>
          <w:bCs/>
          <w:sz w:val="32"/>
          <w:szCs w:val="32"/>
        </w:rPr>
        <w:t>）及以下青年人才；有在国内外知名企业、高校、科研单位及相关机构从事研发或管理等岗位工作经历，并取得较突出业绩；团队成员间专业结构合理，具有关联性和互补性，能在连云港工作3年以上；特别优秀的不受学历限制；</w:t>
      </w:r>
    </w:p>
    <w:p>
      <w:pPr>
        <w:snapToGrid w:val="0"/>
        <w:spacing w:line="570" w:lineRule="exact"/>
        <w:ind w:firstLine="640" w:firstLineChars="200"/>
        <w:rPr>
          <w:rFonts w:eastAsia="仿宋_GB2312"/>
          <w:bCs/>
          <w:sz w:val="32"/>
          <w:szCs w:val="32"/>
        </w:rPr>
      </w:pPr>
      <w:r>
        <w:rPr>
          <w:rFonts w:eastAsia="仿宋_GB2312"/>
          <w:bCs/>
          <w:sz w:val="32"/>
          <w:szCs w:val="32"/>
        </w:rPr>
        <w:t>2. 创新类团队领军人才一般应为国家重大人才工程入选者、享受国务院政府特殊津贴专家，省“333工程”第一、第二层次或省“双创人才”、“江苏特聘教授”等相当层次的高层次人才；创业类团队领军人才标准可在综合评价其创业项目及成效的基础上适当放宽；</w:t>
      </w:r>
    </w:p>
    <w:p>
      <w:pPr>
        <w:snapToGrid w:val="0"/>
        <w:spacing w:line="570" w:lineRule="exact"/>
        <w:ind w:firstLine="640" w:firstLineChars="200"/>
        <w:rPr>
          <w:rFonts w:eastAsia="仿宋_GB2312"/>
          <w:bCs/>
          <w:sz w:val="32"/>
          <w:szCs w:val="32"/>
        </w:rPr>
      </w:pPr>
      <w:r>
        <w:rPr>
          <w:rFonts w:eastAsia="仿宋_GB2312"/>
          <w:bCs/>
          <w:sz w:val="32"/>
          <w:szCs w:val="32"/>
        </w:rPr>
        <w:t>3. 团队在相关研究领域达到国际国内先进水平，在同行中具有重要的创新地位和学术影响，拥有国际国内先进水平、可产业化的发明专利或自主知识产权的创新成果，具备突破重大技术、学术问题的持续创新能力和成果转化能力，并能产生显著经济社会效益；</w:t>
      </w:r>
    </w:p>
    <w:p>
      <w:pPr>
        <w:snapToGrid w:val="0"/>
        <w:spacing w:line="570" w:lineRule="exact"/>
        <w:ind w:firstLine="640" w:firstLineChars="200"/>
        <w:rPr>
          <w:rFonts w:eastAsia="仿宋_GB2312"/>
          <w:bCs/>
          <w:sz w:val="32"/>
          <w:szCs w:val="32"/>
        </w:rPr>
      </w:pPr>
      <w:r>
        <w:rPr>
          <w:rFonts w:eastAsia="仿宋_GB2312"/>
          <w:bCs/>
          <w:sz w:val="32"/>
          <w:szCs w:val="32"/>
        </w:rPr>
        <w:t>4. 团队应在201</w:t>
      </w:r>
      <w:r>
        <w:rPr>
          <w:rFonts w:hint="eastAsia" w:eastAsia="仿宋_GB2312"/>
          <w:bCs/>
          <w:sz w:val="32"/>
          <w:szCs w:val="32"/>
          <w:lang w:val="en-US" w:eastAsia="zh-CN"/>
        </w:rPr>
        <w:t>9</w:t>
      </w:r>
      <w:r>
        <w:rPr>
          <w:rFonts w:eastAsia="仿宋_GB2312"/>
          <w:bCs/>
          <w:sz w:val="32"/>
          <w:szCs w:val="32"/>
        </w:rPr>
        <w:t>年后获得（含202</w:t>
      </w:r>
      <w:r>
        <w:rPr>
          <w:rFonts w:hint="eastAsia" w:eastAsia="仿宋_GB2312"/>
          <w:bCs/>
          <w:sz w:val="32"/>
          <w:szCs w:val="32"/>
          <w:lang w:val="en-US" w:eastAsia="zh-CN"/>
        </w:rPr>
        <w:t>4</w:t>
      </w:r>
      <w:r>
        <w:rPr>
          <w:rFonts w:eastAsia="仿宋_GB2312"/>
          <w:bCs/>
          <w:sz w:val="32"/>
          <w:szCs w:val="32"/>
        </w:rPr>
        <w:t>年新立项）省、市各主管部门200万元以上项目或平台资金支持，或者获得所在县区100万元以上专项资金支持。</w:t>
      </w:r>
    </w:p>
    <w:p>
      <w:pPr>
        <w:snapToGrid w:val="0"/>
        <w:spacing w:line="570" w:lineRule="exact"/>
        <w:ind w:firstLine="640" w:firstLineChars="200"/>
        <w:rPr>
          <w:rFonts w:eastAsia="仿宋_GB2312"/>
          <w:bCs/>
          <w:sz w:val="32"/>
          <w:szCs w:val="32"/>
        </w:rPr>
      </w:pPr>
      <w:r>
        <w:rPr>
          <w:rFonts w:eastAsia="仿宋_GB2312"/>
          <w:bCs/>
          <w:sz w:val="32"/>
          <w:szCs w:val="32"/>
        </w:rPr>
        <w:t>已获得市“花果山英才计划”（原“港城英才计划”）资助的不得申报。</w:t>
      </w:r>
    </w:p>
    <w:p>
      <w:pPr>
        <w:snapToGrid w:val="0"/>
        <w:spacing w:line="570" w:lineRule="exact"/>
        <w:ind w:firstLine="640" w:firstLineChars="200"/>
        <w:rPr>
          <w:rFonts w:eastAsia="黑体"/>
          <w:bCs/>
          <w:sz w:val="32"/>
          <w:szCs w:val="32"/>
        </w:rPr>
      </w:pPr>
      <w:r>
        <w:rPr>
          <w:rFonts w:eastAsia="黑体"/>
          <w:bCs/>
          <w:sz w:val="32"/>
          <w:szCs w:val="32"/>
        </w:rPr>
        <w:t>二、分类条件</w:t>
      </w:r>
    </w:p>
    <w:p>
      <w:pPr>
        <w:snapToGrid w:val="0"/>
        <w:spacing w:line="570" w:lineRule="exact"/>
        <w:ind w:firstLine="640" w:firstLineChars="200"/>
        <w:rPr>
          <w:rFonts w:eastAsia="仿宋_GB2312"/>
          <w:bCs/>
          <w:sz w:val="32"/>
          <w:szCs w:val="32"/>
        </w:rPr>
      </w:pPr>
      <w:r>
        <w:rPr>
          <w:rFonts w:eastAsia="仿宋_GB2312"/>
          <w:bCs/>
          <w:sz w:val="32"/>
          <w:szCs w:val="32"/>
        </w:rPr>
        <w:t>创新类团队，除具备基本条件外，还必须符合下列条件：</w:t>
      </w:r>
    </w:p>
    <w:p>
      <w:pPr>
        <w:snapToGrid w:val="0"/>
        <w:spacing w:line="570" w:lineRule="exact"/>
        <w:ind w:firstLine="640" w:firstLineChars="200"/>
        <w:rPr>
          <w:rFonts w:eastAsia="仿宋_GB2312"/>
          <w:bCs/>
          <w:sz w:val="32"/>
          <w:szCs w:val="32"/>
        </w:rPr>
      </w:pPr>
      <w:r>
        <w:rPr>
          <w:rFonts w:eastAsia="仿宋_GB2312"/>
          <w:bCs/>
          <w:sz w:val="32"/>
          <w:szCs w:val="32"/>
        </w:rPr>
        <w:t>1. 引进单位必须和创新类团队成员签订正式的聘用合同，明确团队成员的岗位、工作职责、工资和合同期限；至少有2名团队成员全职在引进单位工作；</w:t>
      </w:r>
    </w:p>
    <w:p>
      <w:pPr>
        <w:snapToGrid w:val="0"/>
        <w:spacing w:line="570" w:lineRule="exact"/>
        <w:ind w:firstLine="640" w:firstLineChars="200"/>
        <w:rPr>
          <w:rFonts w:eastAsia="仿宋_GB2312"/>
          <w:bCs/>
          <w:sz w:val="32"/>
          <w:szCs w:val="32"/>
        </w:rPr>
      </w:pPr>
      <w:r>
        <w:rPr>
          <w:rFonts w:eastAsia="仿宋_GB2312"/>
          <w:bCs/>
          <w:sz w:val="32"/>
          <w:szCs w:val="32"/>
        </w:rPr>
        <w:t>2. 团队成员从到连云港工作次月起，以引进单位代扣代缴个人所得税计税薪酬月均不低于1万元（事业单位可放宽至8000元），以申报单位代扣代缴个人所得税完税证明和薪酬发放证明（全职人才提供银行流水，非全职人才提供工资发放单或银行流水）为准，且入选后须连续提供不少于3年的上述证明材料；</w:t>
      </w:r>
    </w:p>
    <w:p>
      <w:pPr>
        <w:snapToGrid w:val="0"/>
        <w:spacing w:line="570" w:lineRule="exact"/>
        <w:ind w:firstLine="640" w:firstLineChars="200"/>
        <w:rPr>
          <w:rFonts w:eastAsia="仿宋_GB2312"/>
          <w:bCs/>
          <w:sz w:val="32"/>
          <w:szCs w:val="32"/>
        </w:rPr>
      </w:pPr>
      <w:r>
        <w:rPr>
          <w:rFonts w:eastAsia="仿宋_GB2312"/>
          <w:bCs/>
          <w:sz w:val="32"/>
          <w:szCs w:val="32"/>
        </w:rPr>
        <w:t>3. 创新类团队引进单位经营运行状况良好，资产负债率合理，具有较强的盈利能力。</w:t>
      </w:r>
    </w:p>
    <w:p>
      <w:pPr>
        <w:snapToGrid w:val="0"/>
        <w:spacing w:line="570" w:lineRule="exact"/>
        <w:ind w:firstLine="640" w:firstLineChars="200"/>
        <w:rPr>
          <w:rFonts w:eastAsia="仿宋_GB2312"/>
          <w:bCs/>
          <w:sz w:val="32"/>
          <w:szCs w:val="32"/>
        </w:rPr>
      </w:pPr>
      <w:r>
        <w:rPr>
          <w:rFonts w:eastAsia="仿宋_GB2312"/>
          <w:bCs/>
          <w:sz w:val="32"/>
          <w:szCs w:val="32"/>
        </w:rPr>
        <w:t>创业类团队，除具备基本条件外，还必须符合下列条件：</w:t>
      </w:r>
    </w:p>
    <w:p>
      <w:pPr>
        <w:snapToGrid w:val="0"/>
        <w:spacing w:line="570" w:lineRule="exact"/>
        <w:ind w:firstLine="640" w:firstLineChars="200"/>
        <w:rPr>
          <w:rFonts w:eastAsia="仿宋_GB2312"/>
          <w:bCs/>
          <w:sz w:val="32"/>
          <w:szCs w:val="32"/>
        </w:rPr>
      </w:pPr>
      <w:r>
        <w:rPr>
          <w:rFonts w:eastAsia="仿宋_GB2312"/>
          <w:bCs/>
          <w:sz w:val="32"/>
          <w:szCs w:val="32"/>
        </w:rPr>
        <w:t>1. 团队创办企业须在2023年</w:t>
      </w:r>
      <w:r>
        <w:rPr>
          <w:rFonts w:hint="eastAsia" w:eastAsia="仿宋_GB2312"/>
          <w:bCs/>
          <w:sz w:val="32"/>
          <w:szCs w:val="32"/>
          <w:lang w:val="en-US" w:eastAsia="zh-CN"/>
        </w:rPr>
        <w:t>12</w:t>
      </w:r>
      <w:r>
        <w:rPr>
          <w:rFonts w:eastAsia="仿宋_GB2312"/>
          <w:bCs/>
          <w:sz w:val="32"/>
          <w:szCs w:val="32"/>
        </w:rPr>
        <w:t>月31日前在连完成工商注册登记、办理社会保险等手续；</w:t>
      </w:r>
    </w:p>
    <w:p>
      <w:r>
        <w:rPr>
          <w:rFonts w:eastAsia="仿宋_GB2312"/>
          <w:bCs/>
          <w:sz w:val="32"/>
          <w:szCs w:val="32"/>
        </w:rPr>
        <w:t>2. 引进团队的企业注册资金不低于100万元人民币，领军人才或核心成员为企业第一大股东，或团队成员持企业股份总额不低于50%，股权配置结构有利于企业稳定经营。</w:t>
      </w:r>
    </w:p>
    <w:sectPr>
      <w:pgSz w:w="11906" w:h="16838"/>
      <w:pgMar w:top="1984" w:right="1531" w:bottom="1701" w:left="1531" w:header="851" w:footer="992" w:gutter="0"/>
      <w:cols w:space="0" w:num="1"/>
      <w:rtlGutter w:val="0"/>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D8C053-7F16-4DB6-82DE-EE5B8375C13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A4F5EE0-63F5-4E8D-96EC-39CE1A35962A}"/>
  </w:font>
  <w:font w:name="方正小标宋简体">
    <w:panose1 w:val="02000000000000000000"/>
    <w:charset w:val="86"/>
    <w:family w:val="auto"/>
    <w:pitch w:val="default"/>
    <w:sig w:usb0="00000001" w:usb1="08000000" w:usb2="00000000" w:usb3="00000000" w:csb0="00040000" w:csb1="00000000"/>
    <w:embedRegular r:id="rId3" w:fontKey="{B1F15DC1-CFA4-45A0-AD2F-D11E3A72CD78}"/>
  </w:font>
  <w:font w:name="方正小标宋_GBK">
    <w:panose1 w:val="02000000000000000000"/>
    <w:charset w:val="86"/>
    <w:family w:val="script"/>
    <w:pitch w:val="default"/>
    <w:sig w:usb0="A00002BF" w:usb1="38CF7CFA" w:usb2="00082016" w:usb3="00000000" w:csb0="00040001" w:csb1="00000000"/>
    <w:embedRegular r:id="rId4" w:fontKey="{4692671E-E60B-464D-84EB-76DD345C50A3}"/>
  </w:font>
  <w:font w:name="仿宋_GB2312">
    <w:panose1 w:val="02010609030101010101"/>
    <w:charset w:val="86"/>
    <w:family w:val="modern"/>
    <w:pitch w:val="default"/>
    <w:sig w:usb0="00000001" w:usb1="080E0000" w:usb2="00000000" w:usb3="00000000" w:csb0="00040000" w:csb1="00000000"/>
    <w:embedRegular r:id="rId5" w:fontKey="{1D1EED0E-417C-47F0-8A56-D9579E3F36D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YzAyMWMyOTIwYTJmNGM3ZmVjZmU3M2JhNGE2M2UifQ=="/>
  </w:docVars>
  <w:rsids>
    <w:rsidRoot w:val="22963DEB"/>
    <w:rsid w:val="22963DEB"/>
    <w:rsid w:val="7D152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2024-04-30T08:46:00Z</dcterms:created>
  <dc:creator>泡泡物语</dc:creator>
  <cp:lastModifiedBy>泡泡物语</cp:lastModifiedBy>
  <dcterms:modified xsi:type="dcterms:W3CDTF">2024-04-30T08:47:07Z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78D110AC432A4ED4A314503AE7EF7A44_11</vt:lpwstr>
  </property>
</Properties>
</file>